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97" w:rsidRPr="001D6297" w:rsidRDefault="001D6297" w:rsidP="001D6297">
      <w:pPr>
        <w:pStyle w:val="Titolo1"/>
        <w:jc w:val="center"/>
        <w:rPr>
          <w:rFonts w:ascii="Calibri" w:hAnsi="Calibri"/>
          <w:b/>
          <w:bCs/>
          <w:color w:val="FF0000"/>
          <w:sz w:val="40"/>
          <w:szCs w:val="40"/>
          <w:u w:val="none"/>
        </w:rPr>
      </w:pPr>
      <w:r w:rsidRPr="001D6297">
        <w:rPr>
          <w:rFonts w:ascii="Calibri" w:hAnsi="Calibri"/>
          <w:b/>
          <w:bCs/>
          <w:noProof/>
          <w:color w:val="FF0000"/>
          <w:sz w:val="40"/>
          <w:szCs w:val="40"/>
          <w:u w:val="none"/>
        </w:rPr>
        <w:drawing>
          <wp:inline distT="0" distB="0" distL="0" distR="0">
            <wp:extent cx="3602182" cy="866775"/>
            <wp:effectExtent l="0" t="0" r="0" b="0"/>
            <wp:docPr id="3" name="Immagine 3" descr="C:\Users\Marketing\Desktop\Varie\Logo definitivo - b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ing\Desktop\Varie\Logo definitivo - bass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58" cy="8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297" w:rsidRPr="001D6297" w:rsidRDefault="001D6297">
      <w:pPr>
        <w:pStyle w:val="Titolo1"/>
        <w:jc w:val="center"/>
        <w:rPr>
          <w:rFonts w:ascii="Calibri" w:hAnsi="Calibri"/>
          <w:b/>
          <w:bCs/>
          <w:color w:val="FF0000"/>
        </w:rPr>
      </w:pPr>
    </w:p>
    <w:p w:rsidR="000A3EF2" w:rsidRPr="00314113" w:rsidRDefault="00E8686A" w:rsidP="00E8686A">
      <w:pPr>
        <w:pStyle w:val="Titolo1"/>
        <w:jc w:val="center"/>
        <w:rPr>
          <w:rFonts w:ascii="Calibri" w:hAnsi="Calibri"/>
          <w:b/>
          <w:bCs/>
          <w:color w:val="FF6600"/>
          <w:sz w:val="40"/>
          <w:szCs w:val="40"/>
        </w:rPr>
      </w:pPr>
      <w:bookmarkStart w:id="0" w:name="_GoBack"/>
      <w:r>
        <w:rPr>
          <w:rFonts w:ascii="Calibri" w:hAnsi="Calibri"/>
          <w:b/>
          <w:bCs/>
          <w:color w:val="FF6600"/>
          <w:sz w:val="40"/>
          <w:szCs w:val="40"/>
        </w:rPr>
        <w:t>BLOCCO HB 25/16</w:t>
      </w:r>
    </w:p>
    <w:bookmarkEnd w:id="0"/>
    <w:p w:rsidR="00610ED1" w:rsidRDefault="00E8686A" w:rsidP="00E8686A">
      <w:pPr>
        <w:jc w:val="center"/>
      </w:pPr>
      <w:r>
        <w:rPr>
          <w:noProof/>
        </w:rPr>
        <w:drawing>
          <wp:inline distT="0" distB="0" distL="0" distR="0" wp14:anchorId="0DDB2474">
            <wp:extent cx="5618622" cy="2819400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703" cy="2838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521" w:rsidRDefault="00AD1521" w:rsidP="00AD1521">
      <w:pPr>
        <w:jc w:val="both"/>
        <w:rPr>
          <w:rFonts w:asciiTheme="minorHAnsi" w:hAnsiTheme="minorHAnsi" w:cs="Lucida Sans Unicode"/>
          <w:color w:val="313131"/>
          <w:shd w:val="clear" w:color="auto" w:fill="FFFFFF"/>
        </w:rPr>
      </w:pPr>
    </w:p>
    <w:p w:rsidR="000A3EF2" w:rsidRPr="00AD1521" w:rsidRDefault="00AD1521" w:rsidP="00AD1521">
      <w:pPr>
        <w:spacing w:line="360" w:lineRule="auto"/>
        <w:jc w:val="both"/>
        <w:rPr>
          <w:rFonts w:asciiTheme="minorHAnsi" w:hAnsiTheme="minorHAnsi"/>
        </w:rPr>
      </w:pPr>
      <w:r w:rsidRPr="00AD1521">
        <w:rPr>
          <w:rFonts w:asciiTheme="minorHAnsi" w:hAnsiTheme="minorHAnsi" w:cs="Lucida Sans Unicode"/>
          <w:color w:val="313131"/>
          <w:shd w:val="clear" w:color="auto" w:fill="FFFFFF"/>
        </w:rPr>
        <w:t>Con il</w:t>
      </w:r>
      <w:r w:rsidRPr="00AD1521">
        <w:rPr>
          <w:rStyle w:val="apple-converted-space"/>
          <w:rFonts w:asciiTheme="minorHAnsi" w:hAnsiTheme="minorHAnsi" w:cs="Lucida Sans Unicode"/>
          <w:color w:val="313131"/>
          <w:shd w:val="clear" w:color="auto" w:fill="FFFFFF"/>
        </w:rPr>
        <w:t> </w:t>
      </w:r>
      <w:r w:rsidRPr="00AD1521">
        <w:rPr>
          <w:rFonts w:asciiTheme="minorHAnsi" w:hAnsiTheme="minorHAnsi" w:cs="Lucida Sans Unicode"/>
          <w:b/>
          <w:bCs/>
          <w:color w:val="313131"/>
          <w:shd w:val="clear" w:color="auto" w:fill="FFFFFF"/>
        </w:rPr>
        <w:t>blocco cassero in legno cemento</w:t>
      </w:r>
      <w:r w:rsidRPr="00AD1521">
        <w:rPr>
          <w:rStyle w:val="apple-converted-space"/>
          <w:rFonts w:asciiTheme="minorHAnsi" w:hAnsiTheme="minorHAnsi" w:cs="Lucida Sans Unicode"/>
          <w:color w:val="313131"/>
          <w:shd w:val="clear" w:color="auto" w:fill="FFFFFF"/>
        </w:rPr>
        <w:t> </w:t>
      </w:r>
      <w:r w:rsidRPr="00AD1521">
        <w:rPr>
          <w:rFonts w:asciiTheme="minorHAnsi" w:hAnsiTheme="minorHAnsi" w:cs="Lucida Sans Unicode"/>
          <w:color w:val="313131"/>
          <w:shd w:val="clear" w:color="auto" w:fill="FFFFFF"/>
        </w:rPr>
        <w:t>di spessore 25 cm, con 16 cm di calcestruzzo, si realizzano pareti portanti interne. I blocchi sono posati a secco senza malta.</w:t>
      </w:r>
      <w:r w:rsidR="00610ED1" w:rsidRPr="00AD1521">
        <w:rPr>
          <w:rFonts w:asciiTheme="minorHAnsi" w:hAnsiTheme="minorHAnsi"/>
        </w:rPr>
        <w:t xml:space="preserve"> I blocchi, sono posati a secco senza m</w:t>
      </w:r>
      <w:r w:rsidR="005D2627" w:rsidRPr="00AD1521">
        <w:rPr>
          <w:rFonts w:asciiTheme="minorHAnsi" w:hAnsiTheme="minorHAnsi"/>
        </w:rPr>
        <w:t>alta. Ad ogni metro e mezzo (6</w:t>
      </w:r>
      <w:r w:rsidR="00610ED1" w:rsidRPr="00AD1521">
        <w:rPr>
          <w:rFonts w:asciiTheme="minorHAnsi" w:hAnsiTheme="minorHAnsi"/>
        </w:rPr>
        <w:t xml:space="preserve"> corsi di blocchi) vengon</w:t>
      </w:r>
      <w:r w:rsidR="000623F8" w:rsidRPr="00AD1521">
        <w:rPr>
          <w:rFonts w:asciiTheme="minorHAnsi" w:hAnsiTheme="minorHAnsi"/>
        </w:rPr>
        <w:t xml:space="preserve">o inserite armature verticali e orizzontali e </w:t>
      </w:r>
      <w:r w:rsidR="00604CAF" w:rsidRPr="00AD1521">
        <w:rPr>
          <w:rFonts w:asciiTheme="minorHAnsi" w:hAnsiTheme="minorHAnsi"/>
        </w:rPr>
        <w:t xml:space="preserve">vengono </w:t>
      </w:r>
      <w:r w:rsidR="000623F8" w:rsidRPr="00AD1521">
        <w:rPr>
          <w:rFonts w:asciiTheme="minorHAnsi" w:hAnsiTheme="minorHAnsi"/>
        </w:rPr>
        <w:t>riempiti in calcestruzzo</w:t>
      </w:r>
      <w:r w:rsidR="00604CAF" w:rsidRPr="00AD1521">
        <w:rPr>
          <w:rFonts w:asciiTheme="minorHAnsi" w:hAnsiTheme="minorHAnsi"/>
        </w:rPr>
        <w:t>. Con una sola operazione di posa, semplice e veloce, si ottiene una parete portante altamente antisismica, con eccellenti</w:t>
      </w:r>
      <w:r w:rsidR="00610ED1" w:rsidRPr="00AD1521">
        <w:rPr>
          <w:rFonts w:asciiTheme="minorHAnsi" w:hAnsiTheme="minorHAnsi"/>
        </w:rPr>
        <w:t xml:space="preserve"> prestazioni di isolamento termico ed acustico,</w:t>
      </w:r>
      <w:r w:rsidR="00604CAF" w:rsidRPr="00AD1521">
        <w:rPr>
          <w:rFonts w:asciiTheme="minorHAnsi" w:hAnsiTheme="minorHAnsi"/>
        </w:rPr>
        <w:t xml:space="preserve"> notevole inerzia termica, ottima traspirabilità e </w:t>
      </w:r>
      <w:r w:rsidR="00610ED1" w:rsidRPr="00AD1521">
        <w:rPr>
          <w:rFonts w:asciiTheme="minorHAnsi" w:hAnsiTheme="minorHAnsi"/>
        </w:rPr>
        <w:t>resistenza al fuoco REI 120</w:t>
      </w:r>
      <w:r w:rsidR="00604CAF" w:rsidRPr="00AD1521">
        <w:rPr>
          <w:rFonts w:asciiTheme="minorHAnsi" w:hAnsiTheme="minorHAnsi"/>
        </w:rPr>
        <w:t xml:space="preserve"> (grazie alla mineralizzazione del legno)</w:t>
      </w:r>
      <w:r w:rsidR="00610ED1" w:rsidRPr="00AD1521">
        <w:rPr>
          <w:rFonts w:asciiTheme="minorHAnsi" w:hAnsiTheme="minorHAnsi"/>
        </w:rPr>
        <w:t xml:space="preserve">. Il cemento-legno mineralizzato, è un prodotto naturale, certificato </w:t>
      </w:r>
      <w:r w:rsidR="00604CAF" w:rsidRPr="00AD1521">
        <w:rPr>
          <w:rFonts w:asciiTheme="minorHAnsi" w:hAnsiTheme="minorHAnsi"/>
        </w:rPr>
        <w:t xml:space="preserve">e </w:t>
      </w:r>
      <w:r w:rsidR="00610ED1" w:rsidRPr="00AD1521">
        <w:rPr>
          <w:rFonts w:asciiTheme="minorHAnsi" w:hAnsiTheme="minorHAnsi"/>
        </w:rPr>
        <w:t>conforme per la bioedilizia, ottenuto dal legno di abete vergine riciclato con processo produttivo a ridotte emissioni in atmosfera.</w:t>
      </w:r>
    </w:p>
    <w:p w:rsidR="00610ED1" w:rsidRPr="000623F8" w:rsidRDefault="00610ED1" w:rsidP="00610ED1">
      <w:pPr>
        <w:rPr>
          <w:rFonts w:asciiTheme="minorHAnsi" w:hAnsiTheme="minorHAnsi"/>
        </w:rPr>
      </w:pPr>
    </w:p>
    <w:p w:rsidR="000A3EF2" w:rsidRPr="000623F8" w:rsidRDefault="00610ED1" w:rsidP="001D6297">
      <w:pPr>
        <w:spacing w:line="360" w:lineRule="auto"/>
        <w:jc w:val="both"/>
        <w:rPr>
          <w:rFonts w:asciiTheme="minorHAnsi" w:hAnsiTheme="minorHAnsi" w:cs="Arial"/>
        </w:rPr>
      </w:pPr>
      <w:r w:rsidRPr="000623F8">
        <w:rPr>
          <w:rFonts w:asciiTheme="minorHAnsi" w:hAnsiTheme="minorHAnsi" w:cs="Arial"/>
        </w:rPr>
        <w:t xml:space="preserve">Per maggiori informazioni consultate il nostro sito: </w:t>
      </w:r>
      <w:hyperlink r:id="rId6" w:history="1">
        <w:r w:rsidRPr="000623F8">
          <w:rPr>
            <w:rStyle w:val="Collegamentoipertestuale"/>
            <w:rFonts w:asciiTheme="minorHAnsi" w:hAnsiTheme="minorHAnsi" w:cs="Arial"/>
          </w:rPr>
          <w:t>www.blocchiisotex.com</w:t>
        </w:r>
      </w:hyperlink>
      <w:r w:rsidRPr="000623F8">
        <w:rPr>
          <w:rFonts w:asciiTheme="minorHAnsi" w:hAnsiTheme="minorHAnsi" w:cs="Arial"/>
        </w:rPr>
        <w:t xml:space="preserve"> o contattateci allo 0522/9632 o all’indirizzo e-mail </w:t>
      </w:r>
      <w:hyperlink r:id="rId7" w:history="1">
        <w:r w:rsidRPr="000623F8">
          <w:rPr>
            <w:rStyle w:val="Collegamentoipertestuale"/>
            <w:rFonts w:asciiTheme="minorHAnsi" w:hAnsiTheme="minorHAnsi" w:cs="Arial"/>
            <w:u w:val="none"/>
          </w:rPr>
          <w:t>info@blocchiisotex.it</w:t>
        </w:r>
      </w:hyperlink>
      <w:r w:rsidRPr="000623F8">
        <w:rPr>
          <w:rFonts w:asciiTheme="minorHAnsi" w:hAnsiTheme="minorHAnsi" w:cs="Arial"/>
        </w:rPr>
        <w:t xml:space="preserve"> </w:t>
      </w:r>
    </w:p>
    <w:p w:rsidR="001D6297" w:rsidRPr="00E8686A" w:rsidRDefault="001D6297" w:rsidP="001D6297">
      <w:pPr>
        <w:spacing w:line="360" w:lineRule="auto"/>
        <w:jc w:val="both"/>
        <w:rPr>
          <w:rFonts w:asciiTheme="minorHAnsi" w:hAnsiTheme="minorHAnsi" w:cs="Arial"/>
          <w:b/>
          <w:color w:val="FF6600"/>
        </w:rPr>
      </w:pPr>
    </w:p>
    <w:p w:rsidR="00E8686A" w:rsidRDefault="00E8686A" w:rsidP="00E8686A">
      <w:pPr>
        <w:rPr>
          <w:rFonts w:asciiTheme="minorHAnsi" w:hAnsiTheme="minorHAnsi" w:cs="Lucida Sans Unicode"/>
          <w:b/>
          <w:color w:val="FF6600"/>
          <w:bdr w:val="none" w:sz="0" w:space="0" w:color="auto" w:frame="1"/>
          <w:shd w:val="clear" w:color="auto" w:fill="FFFFFF"/>
        </w:rPr>
      </w:pPr>
    </w:p>
    <w:p w:rsidR="00E8686A" w:rsidRDefault="00E8686A" w:rsidP="00E8686A">
      <w:pPr>
        <w:rPr>
          <w:rFonts w:asciiTheme="minorHAnsi" w:hAnsiTheme="minorHAnsi" w:cs="Lucida Sans Unicode"/>
          <w:b/>
          <w:color w:val="FF6600"/>
          <w:bdr w:val="none" w:sz="0" w:space="0" w:color="auto" w:frame="1"/>
          <w:shd w:val="clear" w:color="auto" w:fill="FFFFFF"/>
        </w:rPr>
      </w:pPr>
    </w:p>
    <w:p w:rsidR="00E8686A" w:rsidRDefault="00E8686A" w:rsidP="00E8686A">
      <w:pPr>
        <w:rPr>
          <w:rFonts w:asciiTheme="minorHAnsi" w:hAnsiTheme="minorHAnsi" w:cs="Lucida Sans Unicode"/>
          <w:b/>
          <w:color w:val="FF6600"/>
          <w:bdr w:val="none" w:sz="0" w:space="0" w:color="auto" w:frame="1"/>
          <w:shd w:val="clear" w:color="auto" w:fill="FFFFFF"/>
        </w:rPr>
      </w:pPr>
    </w:p>
    <w:p w:rsidR="00E8686A" w:rsidRDefault="00E8686A" w:rsidP="00E8686A">
      <w:pPr>
        <w:rPr>
          <w:rFonts w:asciiTheme="minorHAnsi" w:hAnsiTheme="minorHAnsi" w:cs="Lucida Sans Unicode"/>
          <w:b/>
          <w:color w:val="FF6600"/>
          <w:bdr w:val="none" w:sz="0" w:space="0" w:color="auto" w:frame="1"/>
          <w:shd w:val="clear" w:color="auto" w:fill="FFFFFF"/>
        </w:rPr>
      </w:pPr>
    </w:p>
    <w:p w:rsidR="00E8686A" w:rsidRDefault="00E8686A" w:rsidP="00E8686A">
      <w:pPr>
        <w:rPr>
          <w:rFonts w:asciiTheme="minorHAnsi" w:hAnsiTheme="minorHAnsi" w:cs="Lucida Sans Unicode"/>
          <w:b/>
          <w:color w:val="FF6600"/>
          <w:bdr w:val="none" w:sz="0" w:space="0" w:color="auto" w:frame="1"/>
          <w:shd w:val="clear" w:color="auto" w:fill="FFFFFF"/>
        </w:rPr>
      </w:pPr>
    </w:p>
    <w:p w:rsidR="00E8686A" w:rsidRDefault="00E8686A" w:rsidP="00E8686A">
      <w:pPr>
        <w:rPr>
          <w:rFonts w:asciiTheme="minorHAnsi" w:hAnsiTheme="minorHAnsi" w:cs="Lucida Sans Unicode"/>
          <w:b/>
          <w:color w:val="FF6600"/>
          <w:bdr w:val="none" w:sz="0" w:space="0" w:color="auto" w:frame="1"/>
          <w:shd w:val="clear" w:color="auto" w:fill="FFFFFF"/>
        </w:rPr>
      </w:pPr>
    </w:p>
    <w:p w:rsidR="00E8686A" w:rsidRPr="00E8686A" w:rsidRDefault="00E8686A" w:rsidP="00E8686A">
      <w:pPr>
        <w:rPr>
          <w:sz w:val="30"/>
          <w:szCs w:val="30"/>
        </w:rPr>
      </w:pPr>
      <w:r w:rsidRPr="00E8686A">
        <w:rPr>
          <w:rFonts w:asciiTheme="minorHAnsi" w:hAnsiTheme="minorHAnsi" w:cs="Lucida Sans Unicode"/>
          <w:b/>
          <w:color w:val="FF6600"/>
          <w:sz w:val="30"/>
          <w:szCs w:val="30"/>
          <w:bdr w:val="none" w:sz="0" w:space="0" w:color="auto" w:frame="1"/>
          <w:shd w:val="clear" w:color="auto" w:fill="FFFFFF"/>
        </w:rPr>
        <w:lastRenderedPageBreak/>
        <w:t>DATI TECNICI</w:t>
      </w:r>
      <w:r w:rsidRPr="00E8686A">
        <w:rPr>
          <w:rFonts w:ascii="Lucida Sans Unicode" w:hAnsi="Lucida Sans Unicode" w:cs="Lucida Sans Unicode"/>
          <w:color w:val="313131"/>
          <w:sz w:val="30"/>
          <w:szCs w:val="30"/>
        </w:rPr>
        <w:br/>
      </w:r>
    </w:p>
    <w:tbl>
      <w:tblPr>
        <w:tblW w:w="10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0"/>
        <w:gridCol w:w="3408"/>
      </w:tblGrid>
      <w:tr w:rsidR="00E8686A" w:rsidRPr="00E8686A" w:rsidTr="00E8686A">
        <w:tc>
          <w:tcPr>
            <w:tcW w:w="6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b/>
                <w:bCs/>
                <w:color w:val="313131"/>
                <w:sz w:val="20"/>
                <w:szCs w:val="20"/>
                <w:bdr w:val="none" w:sz="0" w:space="0" w:color="auto" w:frame="1"/>
              </w:rPr>
              <w:t>HB blocchi senza polistirolo; </w:t>
            </w: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>la prima cifra è lo spessore del blocco, la seconda lo spessore del CLS.</w:t>
            </w:r>
          </w:p>
        </w:tc>
        <w:tc>
          <w:tcPr>
            <w:tcW w:w="3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jc w:val="center"/>
              <w:textAlignment w:val="baseline"/>
              <w:outlineLvl w:val="1"/>
              <w:rPr>
                <w:rFonts w:ascii="Lucida Sans Unicode" w:hAnsi="Lucida Sans Unicode" w:cs="Lucida Sans Unicode"/>
                <w:b/>
                <w:bCs/>
                <w:color w:val="313131"/>
                <w:sz w:val="36"/>
                <w:szCs w:val="36"/>
              </w:rPr>
            </w:pPr>
            <w:r w:rsidRPr="00E8686A">
              <w:rPr>
                <w:rFonts w:ascii="Calibri" w:hAnsi="Calibri" w:cs="Lucida Sans Unicode"/>
                <w:b/>
                <w:bCs/>
                <w:color w:val="313131"/>
                <w:sz w:val="20"/>
                <w:szCs w:val="20"/>
                <w:bdr w:val="none" w:sz="0" w:space="0" w:color="auto" w:frame="1"/>
              </w:rPr>
              <w:t>HB 25/16</w:t>
            </w:r>
          </w:p>
        </w:tc>
      </w:tr>
      <w:tr w:rsidR="00E8686A" w:rsidRPr="00E8686A" w:rsidTr="00E8686A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 xml:space="preserve">Portata ammissibile indicativa (t/m) </w:t>
            </w:r>
            <w:proofErr w:type="spellStart"/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>R’cK</w:t>
            </w:r>
            <w:proofErr w:type="spellEnd"/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 xml:space="preserve"> ≥ 30 N/mm</w:t>
            </w: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  <w:vertAlign w:val="superscript"/>
              </w:rPr>
              <w:t>2 </w:t>
            </w:r>
            <w:proofErr w:type="spellStart"/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>interp</w:t>
            </w:r>
            <w:proofErr w:type="spellEnd"/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>. H = 3,00 m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b/>
                <w:bCs/>
                <w:color w:val="313131"/>
                <w:sz w:val="20"/>
                <w:szCs w:val="20"/>
                <w:bdr w:val="none" w:sz="0" w:space="0" w:color="auto" w:frame="1"/>
              </w:rPr>
              <w:t>34</w:t>
            </w:r>
          </w:p>
        </w:tc>
      </w:tr>
      <w:tr w:rsidR="00E8686A" w:rsidRPr="00E8686A" w:rsidTr="00E8686A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proofErr w:type="spellStart"/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>Trasmittanza</w:t>
            </w:r>
            <w:proofErr w:type="spellEnd"/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 xml:space="preserve"> termica U della parete intonacata comprensiva di liminari W/m</w:t>
            </w: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  <w:vertAlign w:val="superscript"/>
              </w:rPr>
              <w:t>2 </w:t>
            </w: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>K di parete. Metodo tridimensionale *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b/>
                <w:bCs/>
                <w:color w:val="313131"/>
                <w:sz w:val="20"/>
                <w:szCs w:val="20"/>
                <w:bdr w:val="none" w:sz="0" w:space="0" w:color="auto" w:frame="1"/>
              </w:rPr>
              <w:t>0,79</w:t>
            </w:r>
          </w:p>
        </w:tc>
      </w:tr>
      <w:tr w:rsidR="00E8686A" w:rsidRPr="00E8686A" w:rsidTr="00E8686A">
        <w:trPr>
          <w:trHeight w:val="342"/>
        </w:trPr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proofErr w:type="spellStart"/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>Trasmittanza</w:t>
            </w:r>
            <w:proofErr w:type="spellEnd"/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 xml:space="preserve"> termica periodica Y</w:t>
            </w: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  <w:vertAlign w:val="subscript"/>
              </w:rPr>
              <w:t>IE</w:t>
            </w: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> [W/m</w:t>
            </w: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>K]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b/>
                <w:bCs/>
                <w:color w:val="313131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E8686A" w:rsidRPr="00E8686A" w:rsidTr="00E8686A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>Isolamento acustico ** (dB) (R’W) [D2mntw]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b/>
                <w:bCs/>
                <w:color w:val="313131"/>
                <w:sz w:val="20"/>
                <w:szCs w:val="20"/>
                <w:bdr w:val="none" w:sz="0" w:space="0" w:color="auto" w:frame="1"/>
              </w:rPr>
              <w:t>[56**]</w:t>
            </w:r>
          </w:p>
        </w:tc>
      </w:tr>
      <w:tr w:rsidR="00E8686A" w:rsidRPr="00E8686A" w:rsidTr="00E8686A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>Fabbisogno di calcestruzzo l/m</w:t>
            </w: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b/>
                <w:bCs/>
                <w:color w:val="313131"/>
                <w:sz w:val="20"/>
                <w:szCs w:val="20"/>
                <w:bdr w:val="none" w:sz="0" w:space="0" w:color="auto" w:frame="1"/>
              </w:rPr>
              <w:t>126</w:t>
            </w:r>
          </w:p>
        </w:tc>
      </w:tr>
      <w:tr w:rsidR="00E8686A" w:rsidRPr="00E8686A" w:rsidTr="00E8686A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>Peso dei blocchi kg/m</w:t>
            </w: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b/>
                <w:bCs/>
                <w:color w:val="313131"/>
                <w:sz w:val="20"/>
                <w:szCs w:val="20"/>
                <w:bdr w:val="none" w:sz="0" w:space="0" w:color="auto" w:frame="1"/>
              </w:rPr>
              <w:t>80</w:t>
            </w:r>
          </w:p>
        </w:tc>
      </w:tr>
      <w:tr w:rsidR="00E8686A" w:rsidRPr="00E8686A" w:rsidTr="00E8686A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>Peso della parete riempita in CLS non intonacata kg/m</w:t>
            </w: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  <w:vertAlign w:val="superscript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b/>
                <w:bCs/>
                <w:color w:val="313131"/>
                <w:sz w:val="20"/>
                <w:szCs w:val="20"/>
                <w:bdr w:val="none" w:sz="0" w:space="0" w:color="auto" w:frame="1"/>
              </w:rPr>
              <w:t>382</w:t>
            </w:r>
          </w:p>
        </w:tc>
      </w:tr>
      <w:tr w:rsidR="00E8686A" w:rsidRPr="00E8686A" w:rsidTr="00E8686A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>Spessore calcestruzzo (cm)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b/>
                <w:bCs/>
                <w:color w:val="313131"/>
                <w:sz w:val="20"/>
                <w:szCs w:val="20"/>
                <w:bdr w:val="none" w:sz="0" w:space="0" w:color="auto" w:frame="1"/>
              </w:rPr>
              <w:t>16</w:t>
            </w:r>
          </w:p>
        </w:tc>
      </w:tr>
      <w:tr w:rsidR="00E8686A" w:rsidRPr="00E8686A" w:rsidTr="00E8686A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>Spessore parete blocco (cm)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b/>
                <w:bCs/>
                <w:color w:val="313131"/>
                <w:sz w:val="20"/>
                <w:szCs w:val="20"/>
                <w:bdr w:val="none" w:sz="0" w:space="0" w:color="auto" w:frame="1"/>
              </w:rPr>
              <w:t>4,5</w:t>
            </w:r>
          </w:p>
        </w:tc>
      </w:tr>
      <w:tr w:rsidR="00E8686A" w:rsidRPr="00E8686A" w:rsidTr="00E8686A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>Resistenza al fuoco Classe REI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b/>
                <w:bCs/>
                <w:color w:val="313131"/>
                <w:sz w:val="20"/>
                <w:szCs w:val="20"/>
                <w:bdr w:val="none" w:sz="0" w:space="0" w:color="auto" w:frame="1"/>
              </w:rPr>
              <w:t>120</w:t>
            </w:r>
          </w:p>
        </w:tc>
      </w:tr>
      <w:tr w:rsidR="00E8686A" w:rsidRPr="00E8686A" w:rsidTr="00E8686A">
        <w:tc>
          <w:tcPr>
            <w:tcW w:w="6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color w:val="313131"/>
                <w:sz w:val="20"/>
                <w:szCs w:val="20"/>
                <w:bdr w:val="none" w:sz="0" w:space="0" w:color="auto" w:frame="1"/>
              </w:rPr>
              <w:t>Spessore polistirolo, grafite, sughero (cm)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8686A" w:rsidRPr="00E8686A" w:rsidRDefault="00E8686A" w:rsidP="00E8686A">
            <w:pPr>
              <w:spacing w:line="293" w:lineRule="atLeast"/>
              <w:ind w:left="110"/>
              <w:jc w:val="center"/>
              <w:textAlignment w:val="baseline"/>
              <w:rPr>
                <w:rFonts w:ascii="Lucida Sans Unicode" w:hAnsi="Lucida Sans Unicode" w:cs="Lucida Sans Unicode"/>
                <w:color w:val="313131"/>
                <w:sz w:val="20"/>
                <w:szCs w:val="20"/>
              </w:rPr>
            </w:pPr>
            <w:r w:rsidRPr="00E8686A">
              <w:rPr>
                <w:rFonts w:ascii="Calibri" w:hAnsi="Calibri" w:cs="Lucida Sans Unicode"/>
                <w:b/>
                <w:bCs/>
                <w:color w:val="313131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</w:tbl>
    <w:p w:rsidR="00E8686A" w:rsidRPr="00E8686A" w:rsidRDefault="00E8686A" w:rsidP="00E8686A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E8686A">
        <w:rPr>
          <w:rFonts w:ascii="Lucida Sans Unicode" w:hAnsi="Lucida Sans Unicode" w:cs="Lucida Sans Unicode"/>
          <w:color w:val="313131"/>
          <w:sz w:val="20"/>
          <w:szCs w:val="20"/>
        </w:rPr>
        <w:br/>
      </w:r>
      <w:r w:rsidRPr="00E8686A">
        <w:rPr>
          <w:rFonts w:ascii="Lucida Sans Unicode" w:hAnsi="Lucida Sans Unicode" w:cs="Lucida Sans Unicode"/>
          <w:color w:val="313131"/>
          <w:sz w:val="20"/>
          <w:szCs w:val="20"/>
        </w:rPr>
        <w:br/>
      </w:r>
      <w:r w:rsidRPr="00E8686A">
        <w:rPr>
          <w:rFonts w:asciiTheme="minorHAnsi" w:hAnsiTheme="minorHAnsi" w:cs="Lucida Sans Unicode"/>
          <w:b/>
          <w:bCs/>
          <w:color w:val="313131"/>
          <w:sz w:val="20"/>
          <w:szCs w:val="20"/>
          <w:shd w:val="clear" w:color="auto" w:fill="FFFFFF"/>
        </w:rPr>
        <w:t>*</w:t>
      </w:r>
      <w:r w:rsidRPr="00E8686A">
        <w:rPr>
          <w:rFonts w:asciiTheme="minorHAnsi" w:hAnsiTheme="minorHAnsi" w:cs="Lucida Sans Unicode"/>
          <w:color w:val="313131"/>
          <w:sz w:val="20"/>
          <w:szCs w:val="20"/>
          <w:shd w:val="clear" w:color="auto" w:fill="FFFFFF"/>
        </w:rPr>
        <w:t xml:space="preserve"> Il calcolo della </w:t>
      </w:r>
      <w:proofErr w:type="spellStart"/>
      <w:r w:rsidRPr="00E8686A">
        <w:rPr>
          <w:rFonts w:asciiTheme="minorHAnsi" w:hAnsiTheme="minorHAnsi" w:cs="Lucida Sans Unicode"/>
          <w:color w:val="313131"/>
          <w:sz w:val="20"/>
          <w:szCs w:val="20"/>
          <w:shd w:val="clear" w:color="auto" w:fill="FFFFFF"/>
        </w:rPr>
        <w:t>trasmittanza</w:t>
      </w:r>
      <w:proofErr w:type="spellEnd"/>
      <w:r w:rsidRPr="00E8686A">
        <w:rPr>
          <w:rFonts w:asciiTheme="minorHAnsi" w:hAnsiTheme="minorHAnsi" w:cs="Lucida Sans Unicode"/>
          <w:color w:val="313131"/>
          <w:sz w:val="20"/>
          <w:szCs w:val="20"/>
          <w:shd w:val="clear" w:color="auto" w:fill="FFFFFF"/>
        </w:rPr>
        <w:t xml:space="preserve"> termica è stato eseguito secondo i criteri della norma UNI 10355 e della norma UNI EN ISO 6946, utilizzando un programma di calcolo tridimensionale ad elementi finiti validato secondo la EN 10211/1 e in base ai dati di conduttività termica ottenuti da prove sperimentali (vedi sito web</w:t>
      </w:r>
      <w:proofErr w:type="gramStart"/>
      <w:r w:rsidRPr="00E8686A">
        <w:rPr>
          <w:rFonts w:asciiTheme="minorHAnsi" w:hAnsiTheme="minorHAnsi" w:cs="Lucida Sans Unicode"/>
          <w:color w:val="313131"/>
          <w:sz w:val="20"/>
          <w:szCs w:val="20"/>
          <w:shd w:val="clear" w:color="auto" w:fill="FFFFFF"/>
        </w:rPr>
        <w:t>).</w:t>
      </w:r>
      <w:r w:rsidRPr="00E8686A">
        <w:rPr>
          <w:rFonts w:asciiTheme="minorHAnsi" w:hAnsiTheme="minorHAnsi" w:cs="Lucida Sans Unicode"/>
          <w:color w:val="313131"/>
          <w:sz w:val="20"/>
          <w:szCs w:val="20"/>
        </w:rPr>
        <w:br/>
      </w:r>
      <w:r w:rsidRPr="00E8686A">
        <w:rPr>
          <w:rFonts w:asciiTheme="minorHAnsi" w:hAnsiTheme="minorHAnsi" w:cs="Lucida Sans Unicode"/>
          <w:b/>
          <w:bCs/>
          <w:color w:val="313131"/>
          <w:sz w:val="20"/>
          <w:szCs w:val="20"/>
          <w:shd w:val="clear" w:color="auto" w:fill="FFFFFF"/>
        </w:rPr>
        <w:t>*</w:t>
      </w:r>
      <w:proofErr w:type="gramEnd"/>
      <w:r w:rsidRPr="00E8686A">
        <w:rPr>
          <w:rFonts w:asciiTheme="minorHAnsi" w:hAnsiTheme="minorHAnsi" w:cs="Lucida Sans Unicode"/>
          <w:b/>
          <w:bCs/>
          <w:color w:val="313131"/>
          <w:sz w:val="20"/>
          <w:szCs w:val="20"/>
          <w:shd w:val="clear" w:color="auto" w:fill="FFFFFF"/>
        </w:rPr>
        <w:t>*Nota</w:t>
      </w:r>
      <w:r w:rsidRPr="00E8686A">
        <w:rPr>
          <w:rFonts w:asciiTheme="minorHAnsi" w:hAnsiTheme="minorHAnsi" w:cs="Lucida Sans Unicode"/>
          <w:color w:val="313131"/>
          <w:sz w:val="20"/>
          <w:szCs w:val="20"/>
          <w:shd w:val="clear" w:color="auto" w:fill="FFFFFF"/>
        </w:rPr>
        <w:t>: Prove effettuate in laboratorio con le norme serie UNI EN ISO 10140-2:2010 e norme serie UNI EN ISO 717-1:2007.</w:t>
      </w:r>
    </w:p>
    <w:sectPr w:rsidR="00E8686A" w:rsidRPr="00E8686A" w:rsidSect="0031411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D1"/>
    <w:rsid w:val="000623F8"/>
    <w:rsid w:val="000A3EF2"/>
    <w:rsid w:val="001D6297"/>
    <w:rsid w:val="00240305"/>
    <w:rsid w:val="00314113"/>
    <w:rsid w:val="005D2627"/>
    <w:rsid w:val="00604CAF"/>
    <w:rsid w:val="00610ED1"/>
    <w:rsid w:val="00AD1521"/>
    <w:rsid w:val="00E227EC"/>
    <w:rsid w:val="00E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CA48B-E2B5-4B8A-91C4-2C0CBDF2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Arial" w:hAnsi="Arial" w:cs="Arial"/>
      <w:u w:val="single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alibri" w:hAnsi="Calibri" w:cs="Arial"/>
      <w:sz w:val="22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AD1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locchiisotex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occhiisotex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>Redazionale Gazzetta di Parma del 25 giugno 2008</vt:lpstr>
      <vt:lpstr>/</vt:lpstr>
      <vt:lpstr/>
      <vt:lpstr>BLOCCO HB 25/16</vt:lpstr>
    </vt:vector>
  </TitlesOfParts>
  <Company>.</Company>
  <LinksUpToDate>false</LinksUpToDate>
  <CharactersWithSpaces>2231</CharactersWithSpaces>
  <SharedDoc>false</SharedDoc>
  <HLinks>
    <vt:vector size="12" baseType="variant">
      <vt:variant>
        <vt:i4>7536730</vt:i4>
      </vt:variant>
      <vt:variant>
        <vt:i4>3</vt:i4>
      </vt:variant>
      <vt:variant>
        <vt:i4>0</vt:i4>
      </vt:variant>
      <vt:variant>
        <vt:i4>5</vt:i4>
      </vt:variant>
      <vt:variant>
        <vt:lpwstr>mailto:info@blocchiisotex.it</vt:lpwstr>
      </vt:variant>
      <vt:variant>
        <vt:lpwstr/>
      </vt:variant>
      <vt:variant>
        <vt:i4>6094869</vt:i4>
      </vt:variant>
      <vt:variant>
        <vt:i4>0</vt:i4>
      </vt:variant>
      <vt:variant>
        <vt:i4>0</vt:i4>
      </vt:variant>
      <vt:variant>
        <vt:i4>5</vt:i4>
      </vt:variant>
      <vt:variant>
        <vt:lpwstr>http://www.blocchiisotex.com/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Redazionale Gazzetta di Parma del 25 giugno 2008</dc:title>
  <dc:subject/>
  <dc:creator>AF</dc:creator>
  <cp:keywords/>
  <dc:description/>
  <cp:lastModifiedBy>Laura</cp:lastModifiedBy>
  <cp:revision>2</cp:revision>
  <cp:lastPrinted>2011-04-08T16:11:00Z</cp:lastPrinted>
  <dcterms:created xsi:type="dcterms:W3CDTF">2017-02-17T11:14:00Z</dcterms:created>
  <dcterms:modified xsi:type="dcterms:W3CDTF">2017-02-17T11:14:00Z</dcterms:modified>
</cp:coreProperties>
</file>